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6B" w:rsidRDefault="005B776B" w:rsidP="005B776B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</w:p>
    <w:p w:rsidR="005B776B" w:rsidRDefault="005B776B" w:rsidP="005B776B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_GBK" w:hAnsi="Times New Roman" w:cs="Times New Roman"/>
          <w:sz w:val="36"/>
          <w:szCs w:val="36"/>
        </w:rPr>
        <w:t>专家推荐信息表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14"/>
        <w:gridCol w:w="1780"/>
        <w:gridCol w:w="3260"/>
        <w:gridCol w:w="2977"/>
        <w:gridCol w:w="2410"/>
      </w:tblGrid>
      <w:tr w:rsidR="005B776B" w:rsidTr="005B776B">
        <w:trPr>
          <w:trHeight w:val="405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bookmarkEnd w:id="0"/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学校名称（学校或部门盖章）：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B776B" w:rsidTr="005B776B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邮箱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备注</w:t>
            </w:r>
          </w:p>
        </w:tc>
      </w:tr>
      <w:tr w:rsidR="005B776B" w:rsidTr="005B776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B776B" w:rsidTr="005B776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B776B" w:rsidTr="005B776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B776B" w:rsidTr="005B776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B776B" w:rsidTr="005B776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B776B" w:rsidTr="005B776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76B" w:rsidRDefault="005B776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6B" w:rsidRDefault="005B776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5B776B" w:rsidRPr="005B776B" w:rsidRDefault="005B776B" w:rsidP="005B776B">
      <w:pPr>
        <w:spacing w:line="480" w:lineRule="exact"/>
        <w:rPr>
          <w:rFonts w:ascii="Times New Roman" w:eastAsia="仿宋" w:hAnsi="Times New Roman" w:cs="Times New Roman"/>
        </w:rPr>
      </w:pPr>
      <w:r w:rsidRPr="005B776B">
        <w:rPr>
          <w:rFonts w:ascii="Times New Roman" w:eastAsia="仿宋" w:hAnsi="Times New Roman" w:cs="Times New Roman"/>
        </w:rPr>
        <w:t>注：备注标明专家类别，分为：教育专家、企业专家、创业孵化专家、技术专家、投资专家。其中教育专家是指在乡村振兴教育与管理、产业化方面卓有成效的校级领导、复合型高校教师、行政人员；企业专家是指大型企业的总公司管理层、主要业务部门</w:t>
      </w:r>
      <w:r w:rsidRPr="005B776B">
        <w:rPr>
          <w:rFonts w:ascii="Times New Roman" w:eastAsia="仿宋" w:hAnsi="Times New Roman" w:cs="Times New Roman"/>
        </w:rPr>
        <w:t xml:space="preserve"> </w:t>
      </w:r>
      <w:r w:rsidRPr="005B776B">
        <w:rPr>
          <w:rFonts w:ascii="Times New Roman" w:eastAsia="仿宋" w:hAnsi="Times New Roman" w:cs="Times New Roman"/>
        </w:rPr>
        <w:t>（研发、生产、营销、人力资源）负责人、分公司或子公司</w:t>
      </w:r>
      <w:r w:rsidRPr="005B776B">
        <w:rPr>
          <w:rFonts w:ascii="Times New Roman" w:eastAsia="仿宋" w:hAnsi="Times New Roman" w:cs="Times New Roman"/>
        </w:rPr>
        <w:t xml:space="preserve"> </w:t>
      </w:r>
      <w:r w:rsidRPr="005B776B">
        <w:rPr>
          <w:rFonts w:ascii="Times New Roman" w:eastAsia="仿宋" w:hAnsi="Times New Roman" w:cs="Times New Roman"/>
        </w:rPr>
        <w:t>总经理及以上；中型企业的总公司管理层，分公司、子公司</w:t>
      </w:r>
      <w:r w:rsidRPr="005B776B">
        <w:rPr>
          <w:rFonts w:ascii="Times New Roman" w:eastAsia="仿宋" w:hAnsi="Times New Roman" w:cs="Times New Roman"/>
        </w:rPr>
        <w:t xml:space="preserve"> </w:t>
      </w:r>
      <w:r w:rsidRPr="005B776B">
        <w:rPr>
          <w:rFonts w:ascii="Times New Roman" w:eastAsia="仿宋" w:hAnsi="Times New Roman" w:cs="Times New Roman"/>
        </w:rPr>
        <w:t>总经理及以上；小</w:t>
      </w:r>
      <w:proofErr w:type="gramStart"/>
      <w:r w:rsidRPr="005B776B">
        <w:rPr>
          <w:rFonts w:ascii="Times New Roman" w:eastAsia="仿宋" w:hAnsi="Times New Roman" w:cs="Times New Roman"/>
        </w:rPr>
        <w:t>微企业</w:t>
      </w:r>
      <w:proofErr w:type="gramEnd"/>
      <w:r w:rsidRPr="005B776B">
        <w:rPr>
          <w:rFonts w:ascii="Times New Roman" w:eastAsia="仿宋" w:hAnsi="Times New Roman" w:cs="Times New Roman"/>
        </w:rPr>
        <w:t>的董事长、</w:t>
      </w:r>
      <w:r w:rsidRPr="005B776B">
        <w:rPr>
          <w:rFonts w:ascii="Times New Roman" w:eastAsia="仿宋" w:hAnsi="Times New Roman" w:cs="Times New Roman"/>
        </w:rPr>
        <w:t>CEO</w:t>
      </w:r>
      <w:r w:rsidRPr="005B776B">
        <w:rPr>
          <w:rFonts w:ascii="仿宋" w:eastAsia="仿宋" w:hAnsi="仿宋" w:cs="Times New Roman"/>
        </w:rPr>
        <w:t>、合伙人等核心管理层；创业孵化专家是</w:t>
      </w:r>
      <w:proofErr w:type="gramStart"/>
      <w:r w:rsidRPr="005B776B">
        <w:rPr>
          <w:rFonts w:ascii="仿宋" w:eastAsia="仿宋" w:hAnsi="仿宋" w:cs="Times New Roman"/>
        </w:rPr>
        <w:t>指创业</w:t>
      </w:r>
      <w:proofErr w:type="gramEnd"/>
      <w:r w:rsidRPr="005B776B">
        <w:rPr>
          <w:rFonts w:ascii="仿宋" w:eastAsia="仿宋" w:hAnsi="仿宋" w:cs="Times New Roman"/>
        </w:rPr>
        <w:t>孵化机构核心管理层以及核心业务部门负责人；技术专家是指科研院所、高校、企业等乡村振兴领域的技术人员；投资专家是指大型知名投资机构须为投资总监（或同等 级别的其他职级）及以上人员；一般投资机构须为本机构的投资副总及以上。</w:t>
      </w:r>
    </w:p>
    <w:p w:rsidR="00BF7CCA" w:rsidRPr="005B776B" w:rsidRDefault="005B776B">
      <w:pPr>
        <w:rPr>
          <w:rFonts w:hint="eastAsia"/>
        </w:rPr>
      </w:pPr>
      <w:r>
        <w:t xml:space="preserve"> </w:t>
      </w:r>
    </w:p>
    <w:sectPr w:rsidR="00BF7CCA" w:rsidRPr="005B776B" w:rsidSect="005B776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6B"/>
    <w:rsid w:val="005B776B"/>
    <w:rsid w:val="00B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C37A"/>
  <w15:chartTrackingRefBased/>
  <w15:docId w15:val="{2F6F2701-01EF-4462-AB2F-D0E2BD70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B776B"/>
    <w:pPr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5B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2024-09-23T09:00:00Z</dcterms:created>
  <dcterms:modified xsi:type="dcterms:W3CDTF">2024-09-23T09:02:00Z</dcterms:modified>
</cp:coreProperties>
</file>